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44" w:rsidRPr="0014037E" w:rsidRDefault="0014037E" w:rsidP="0026520E">
      <w:pPr>
        <w:pStyle w:val="Titre"/>
        <w:rPr>
          <w:rFonts w:ascii="Expressway Rg" w:hAnsi="Expressway Rg"/>
        </w:rPr>
      </w:pPr>
      <w:r w:rsidRPr="0026520E">
        <w:rPr>
          <w:rFonts w:ascii="Expressway Rg" w:hAnsi="Expressway Rg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C5F34" wp14:editId="57CD1320">
                <wp:simplePos x="0" y="0"/>
                <wp:positionH relativeFrom="column">
                  <wp:posOffset>-899795</wp:posOffset>
                </wp:positionH>
                <wp:positionV relativeFrom="paragraph">
                  <wp:posOffset>-721666</wp:posOffset>
                </wp:positionV>
                <wp:extent cx="7564582" cy="463138"/>
                <wp:effectExtent l="57150" t="19050" r="55880" b="895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582" cy="463138"/>
                        </a:xfrm>
                        <a:prstGeom prst="rect">
                          <a:avLst/>
                        </a:prstGeom>
                        <a:solidFill>
                          <a:srgbClr val="D20000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70.85pt;margin-top:-56.8pt;width:595.65pt;height:3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" fillcolor="#d20000" stroked="f" strokeweight="2pt">
                <v:shadow on="t" color="black" opacity="26214f" origin=",-.5" offset="0,3pt"/>
              </v:rect>
            </w:pict>
          </mc:Fallback>
        </mc:AlternateContent>
      </w:r>
      <w:r w:rsidR="0026520E">
        <w:rPr>
          <w:rFonts w:ascii="Expressway Rg" w:hAnsi="Expressway Rg"/>
          <w:b/>
        </w:rPr>
        <w:t xml:space="preserve">Gaspillage alimentaire : </w:t>
      </w:r>
      <w:r w:rsidR="00FB3176" w:rsidRPr="0014037E">
        <w:rPr>
          <w:rFonts w:ascii="Expressway Rg" w:hAnsi="Expressway Rg"/>
        </w:rPr>
        <w:t>que peuvent faire les collectivités ?</w:t>
      </w:r>
    </w:p>
    <w:p w:rsidR="00FB3176" w:rsidRDefault="0086508D" w:rsidP="009928C4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93EB454" wp14:editId="7598EDFA">
                <wp:simplePos x="0" y="0"/>
                <wp:positionH relativeFrom="column">
                  <wp:posOffset>-108225</wp:posOffset>
                </wp:positionH>
                <wp:positionV relativeFrom="paragraph">
                  <wp:posOffset>144117</wp:posOffset>
                </wp:positionV>
                <wp:extent cx="6032311" cy="6114197"/>
                <wp:effectExtent l="0" t="0" r="6985" b="12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311" cy="611419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8.5pt;margin-top:11.35pt;width:475pt;height:481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" fillcolor="#f2f2f2 [3052]" stroked="f" strokeweight="2pt"/>
            </w:pict>
          </mc:Fallback>
        </mc:AlternateContent>
      </w:r>
    </w:p>
    <w:p w:rsidR="00FB3176" w:rsidRPr="009928C4" w:rsidRDefault="00FB3176" w:rsidP="009928C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928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Il n’existe pas de définition normalisée </w:t>
      </w:r>
      <w:r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du gaspillage alimentaire. Dans un rapport de la FAO de mai 2011 « Global Food </w:t>
      </w:r>
      <w:proofErr w:type="spellStart"/>
      <w:r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Losses</w:t>
      </w:r>
      <w:proofErr w:type="spellEnd"/>
      <w:r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and Food </w:t>
      </w:r>
      <w:proofErr w:type="spellStart"/>
      <w:r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Waste</w:t>
      </w:r>
      <w:proofErr w:type="spellEnd"/>
      <w:r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9928C4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fr-FR"/>
        </w:rPr>
        <w:t>1</w:t>
      </w:r>
      <w:r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», il est mentionné qu’il s’agit des produits potentiellement destinés à l’alimentation humaine qui qui sont perdus ou jetés tout au long de la chaîne alimentaire, comme figuré dans le schéma ci-après.</w:t>
      </w:r>
    </w:p>
    <w:p w:rsidR="00FB3176" w:rsidRPr="009928C4" w:rsidRDefault="00FB3176" w:rsidP="009928C4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928C4"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06EE8C94" wp14:editId="0893CDE1">
            <wp:extent cx="4519764" cy="985569"/>
            <wp:effectExtent l="0" t="0" r="0" b="5080"/>
            <wp:docPr id="2" name="Image 2" descr="http://optigede.ademe.fr/sites/default/files/schemaGAv2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tigede.ademe.fr/sites/default/files/schemaGAv2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676" cy="98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76" w:rsidRPr="009928C4" w:rsidRDefault="00FB3176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 FAO </w:t>
      </w:r>
      <w:r w:rsidRPr="009928C4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fr-FR"/>
        </w:rPr>
        <w:t>1 </w:t>
      </w:r>
      <w:r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estime qu'un </w:t>
      </w:r>
      <w:r w:rsidRPr="009928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tiers</w:t>
      </w:r>
      <w:r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de la production alimentaire mondiale est </w:t>
      </w:r>
      <w:r w:rsidRPr="009928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perdue ou jetée</w:t>
      </w:r>
      <w:r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soit l’équivalent de </w:t>
      </w:r>
      <w:r w:rsidRPr="009928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1,3 milliards de tonnes chaque année</w:t>
      </w:r>
      <w:r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:rsidR="00FB3176" w:rsidRPr="009928C4" w:rsidRDefault="00FB3176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FB3176" w:rsidRPr="009928C4" w:rsidRDefault="00FB3176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 Commission européenne a aussi procédé, en 2010, à une enquête sur les quantités de nourriture gaspillées dans l'Europe des 27</w:t>
      </w:r>
      <w:r w:rsidRPr="009928C4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fr-FR"/>
        </w:rPr>
        <w:t>2</w:t>
      </w:r>
      <w:r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Ainsi, le volume total des déchets alimentaires en Europe représenterait environ </w:t>
      </w:r>
      <w:r w:rsidRPr="009928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89 millions de tonnes</w:t>
      </w:r>
      <w:r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soit 179 kg/hab./an :</w:t>
      </w:r>
    </w:p>
    <w:p w:rsidR="00FB3176" w:rsidRPr="009928C4" w:rsidRDefault="00FB3176" w:rsidP="009928C4">
      <w:pPr>
        <w:numPr>
          <w:ilvl w:val="0"/>
          <w:numId w:val="1"/>
        </w:numPr>
        <w:spacing w:after="0" w:line="240" w:lineRule="auto"/>
        <w:ind w:left="705"/>
        <w:jc w:val="both"/>
        <w:rPr>
          <w:rFonts w:ascii="Arial" w:eastAsia="Times New Roman" w:hAnsi="Arial" w:cs="Arial"/>
          <w:color w:val="000000"/>
          <w:sz w:val="18"/>
          <w:szCs w:val="20"/>
          <w:lang w:eastAsia="fr-FR"/>
        </w:rPr>
      </w:pPr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ménages : 43% (76kg/</w:t>
      </w:r>
      <w:proofErr w:type="spellStart"/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hab</w:t>
      </w:r>
      <w:proofErr w:type="spellEnd"/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/an),</w:t>
      </w:r>
    </w:p>
    <w:p w:rsidR="00FB3176" w:rsidRPr="009928C4" w:rsidRDefault="00FB3176" w:rsidP="009928C4">
      <w:pPr>
        <w:numPr>
          <w:ilvl w:val="0"/>
          <w:numId w:val="1"/>
        </w:numPr>
        <w:spacing w:after="0" w:line="240" w:lineRule="auto"/>
        <w:ind w:left="705"/>
        <w:jc w:val="both"/>
        <w:rPr>
          <w:rFonts w:ascii="Arial" w:eastAsia="Times New Roman" w:hAnsi="Arial" w:cs="Arial"/>
          <w:color w:val="000000"/>
          <w:sz w:val="18"/>
          <w:szCs w:val="20"/>
          <w:lang w:eastAsia="fr-FR"/>
        </w:rPr>
      </w:pPr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industries agroalimentaires : 39% (70kg/</w:t>
      </w:r>
      <w:proofErr w:type="spellStart"/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hab</w:t>
      </w:r>
      <w:proofErr w:type="spellEnd"/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/an),</w:t>
      </w:r>
    </w:p>
    <w:p w:rsidR="00FB3176" w:rsidRPr="009928C4" w:rsidRDefault="00FB3176" w:rsidP="009928C4">
      <w:pPr>
        <w:numPr>
          <w:ilvl w:val="0"/>
          <w:numId w:val="1"/>
        </w:numPr>
        <w:spacing w:after="0" w:line="240" w:lineRule="auto"/>
        <w:ind w:left="705"/>
        <w:jc w:val="both"/>
        <w:rPr>
          <w:rFonts w:ascii="Arial" w:eastAsia="Times New Roman" w:hAnsi="Arial" w:cs="Arial"/>
          <w:color w:val="000000"/>
          <w:sz w:val="18"/>
          <w:szCs w:val="20"/>
          <w:lang w:eastAsia="fr-FR"/>
        </w:rPr>
      </w:pPr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distribution : 4% (8kg/</w:t>
      </w:r>
      <w:proofErr w:type="spellStart"/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hab</w:t>
      </w:r>
      <w:proofErr w:type="spellEnd"/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/an),</w:t>
      </w:r>
    </w:p>
    <w:p w:rsidR="00FB3176" w:rsidRPr="009928C4" w:rsidRDefault="00FB3176" w:rsidP="009928C4">
      <w:pPr>
        <w:numPr>
          <w:ilvl w:val="0"/>
          <w:numId w:val="1"/>
        </w:numPr>
        <w:spacing w:after="0" w:line="240" w:lineRule="auto"/>
        <w:ind w:left="705"/>
        <w:jc w:val="both"/>
        <w:rPr>
          <w:rFonts w:ascii="Arial" w:eastAsia="Times New Roman" w:hAnsi="Arial" w:cs="Arial"/>
          <w:color w:val="000000"/>
          <w:sz w:val="18"/>
          <w:szCs w:val="20"/>
          <w:lang w:eastAsia="fr-FR"/>
        </w:rPr>
      </w:pPr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restauration hors foyer : 14% (25kg/</w:t>
      </w:r>
      <w:proofErr w:type="spellStart"/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hab</w:t>
      </w:r>
      <w:proofErr w:type="spellEnd"/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/an).</w:t>
      </w:r>
    </w:p>
    <w:p w:rsidR="00FB3176" w:rsidRPr="009928C4" w:rsidRDefault="00FB3176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FB3176" w:rsidRPr="009928C4" w:rsidRDefault="00FB3176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Différentes études menées en France permettent de disposer </w:t>
      </w:r>
      <w:r w:rsidRPr="009928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d’ordre de grandeur</w:t>
      </w:r>
      <w:r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quant à ces pertes/gaspillages pour certains secteurs :</w:t>
      </w:r>
    </w:p>
    <w:p w:rsidR="00FB3176" w:rsidRPr="009928C4" w:rsidRDefault="00FB3176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FB3176" w:rsidRPr="009928C4" w:rsidRDefault="00FB3176" w:rsidP="009928C4">
      <w:pPr>
        <w:numPr>
          <w:ilvl w:val="0"/>
          <w:numId w:val="2"/>
        </w:numPr>
        <w:spacing w:after="0" w:line="240" w:lineRule="auto"/>
        <w:ind w:left="705"/>
        <w:jc w:val="both"/>
        <w:rPr>
          <w:rFonts w:ascii="Arial" w:eastAsia="Times New Roman" w:hAnsi="Arial" w:cs="Arial"/>
          <w:color w:val="000000"/>
          <w:sz w:val="18"/>
          <w:szCs w:val="20"/>
          <w:lang w:eastAsia="fr-FR"/>
        </w:rPr>
      </w:pPr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Ainsi, </w:t>
      </w:r>
      <w:r w:rsidRPr="009928C4">
        <w:rPr>
          <w:rFonts w:ascii="Arial" w:eastAsia="Times New Roman" w:hAnsi="Arial" w:cs="Arial"/>
          <w:b/>
          <w:bCs/>
          <w:color w:val="000000"/>
          <w:sz w:val="18"/>
          <w:szCs w:val="20"/>
          <w:lang w:eastAsia="fr-FR"/>
        </w:rPr>
        <w:t>dans les ordures ménagères et assimilées</w:t>
      </w:r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, on trouve l’équivalent de </w:t>
      </w:r>
      <w:r w:rsidRPr="009928C4">
        <w:rPr>
          <w:rFonts w:ascii="Arial" w:eastAsia="Times New Roman" w:hAnsi="Arial" w:cs="Arial"/>
          <w:b/>
          <w:bCs/>
          <w:color w:val="000000"/>
          <w:sz w:val="18"/>
          <w:szCs w:val="20"/>
          <w:lang w:eastAsia="fr-FR"/>
        </w:rPr>
        <w:t>20 kg/habitant/an de déchets alimentaires</w:t>
      </w:r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 dont 7 kg de produits alimentaires encore emballés </w:t>
      </w:r>
      <w:r w:rsidRPr="009928C4">
        <w:rPr>
          <w:rFonts w:ascii="Arial" w:eastAsia="Times New Roman" w:hAnsi="Arial" w:cs="Arial"/>
          <w:b/>
          <w:bCs/>
          <w:color w:val="000000"/>
          <w:sz w:val="18"/>
          <w:szCs w:val="20"/>
          <w:vertAlign w:val="superscript"/>
          <w:lang w:eastAsia="fr-FR"/>
        </w:rPr>
        <w:t>3</w:t>
      </w:r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.</w:t>
      </w:r>
    </w:p>
    <w:p w:rsidR="00FB3176" w:rsidRPr="009928C4" w:rsidRDefault="00FB3176" w:rsidP="009928C4">
      <w:pPr>
        <w:numPr>
          <w:ilvl w:val="0"/>
          <w:numId w:val="2"/>
        </w:numPr>
        <w:spacing w:after="0" w:line="240" w:lineRule="auto"/>
        <w:ind w:left="705"/>
        <w:jc w:val="both"/>
        <w:rPr>
          <w:rFonts w:ascii="Arial" w:eastAsia="Times New Roman" w:hAnsi="Arial" w:cs="Arial"/>
          <w:color w:val="000000"/>
          <w:sz w:val="18"/>
          <w:szCs w:val="20"/>
          <w:lang w:eastAsia="fr-FR"/>
        </w:rPr>
      </w:pPr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Au niveau de la </w:t>
      </w:r>
      <w:r w:rsidRPr="009928C4">
        <w:rPr>
          <w:rFonts w:ascii="Arial" w:eastAsia="Times New Roman" w:hAnsi="Arial" w:cs="Arial"/>
          <w:b/>
          <w:bCs/>
          <w:color w:val="000000"/>
          <w:sz w:val="18"/>
          <w:szCs w:val="20"/>
          <w:lang w:eastAsia="fr-FR"/>
        </w:rPr>
        <w:t>restauration collective</w:t>
      </w:r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 en régie, il est estimé </w:t>
      </w:r>
      <w:r w:rsidRPr="009928C4">
        <w:rPr>
          <w:rFonts w:ascii="Arial" w:eastAsia="Times New Roman" w:hAnsi="Arial" w:cs="Arial"/>
          <w:b/>
          <w:bCs/>
          <w:color w:val="000000"/>
          <w:sz w:val="18"/>
          <w:szCs w:val="20"/>
          <w:vertAlign w:val="superscript"/>
          <w:lang w:eastAsia="fr-FR"/>
        </w:rPr>
        <w:t>4</w:t>
      </w:r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 xml:space="preserve"> qu’un repas (préparation et consommation) génère en moyenne 150g de </w:t>
      </w:r>
      <w:proofErr w:type="spellStart"/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biodéchets</w:t>
      </w:r>
      <w:proofErr w:type="spellEnd"/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 constitués de 50 g d’épluchures et restes de préparation et </w:t>
      </w:r>
      <w:r w:rsidRPr="009928C4">
        <w:rPr>
          <w:rFonts w:ascii="Arial" w:eastAsia="Times New Roman" w:hAnsi="Arial" w:cs="Arial"/>
          <w:b/>
          <w:bCs/>
          <w:color w:val="000000"/>
          <w:sz w:val="18"/>
          <w:szCs w:val="20"/>
          <w:lang w:eastAsia="fr-FR"/>
        </w:rPr>
        <w:t>100 g de restes de repas</w:t>
      </w:r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 (dans ces 100g, une part vraisemblablement marginale est constituée de déchets inévitables tels que os, noyaux de fruits,…).</w:t>
      </w:r>
    </w:p>
    <w:p w:rsidR="00FB3176" w:rsidRPr="009928C4" w:rsidRDefault="00FB3176" w:rsidP="009928C4">
      <w:pPr>
        <w:numPr>
          <w:ilvl w:val="0"/>
          <w:numId w:val="2"/>
        </w:numPr>
        <w:spacing w:after="0" w:line="240" w:lineRule="auto"/>
        <w:ind w:left="705"/>
        <w:jc w:val="both"/>
        <w:rPr>
          <w:rFonts w:ascii="Arial" w:eastAsia="Times New Roman" w:hAnsi="Arial" w:cs="Arial"/>
          <w:color w:val="000000"/>
          <w:sz w:val="18"/>
          <w:szCs w:val="20"/>
          <w:lang w:eastAsia="fr-FR"/>
        </w:rPr>
      </w:pPr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 xml:space="preserve">L’étude de préfiguration de l’obligation de valorisation des </w:t>
      </w:r>
      <w:proofErr w:type="spellStart"/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biodéchets</w:t>
      </w:r>
      <w:proofErr w:type="spellEnd"/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 xml:space="preserve"> par les gros producteurs, fournit des données sur les marchés et les </w:t>
      </w:r>
      <w:proofErr w:type="spellStart"/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biodéchets</w:t>
      </w:r>
      <w:proofErr w:type="spellEnd"/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 xml:space="preserve"> générés par différents secteurs d’activités. Des études en cours </w:t>
      </w:r>
      <w:proofErr w:type="spellStart"/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co-fi</w:t>
      </w:r>
      <w:r w:rsidR="00F03CF7"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n</w:t>
      </w:r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ancés</w:t>
      </w:r>
      <w:proofErr w:type="spellEnd"/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 xml:space="preserve"> par l’ADEME vont permettre d’affiner ces données par secteurs.</w:t>
      </w:r>
    </w:p>
    <w:p w:rsidR="00FB3176" w:rsidRPr="009928C4" w:rsidRDefault="00FB3176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F03CF7" w:rsidRPr="009928C4" w:rsidRDefault="00FB3176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gaspillage alimentaire entraîne également un  </w:t>
      </w:r>
      <w:r w:rsidRPr="009928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gaspillage de ressources</w:t>
      </w:r>
      <w:r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(eau, énergie, superficies agricoles,</w:t>
      </w:r>
      <w:r w:rsidR="00F03CF7"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matières premières…), et des </w:t>
      </w:r>
      <w:r w:rsidR="00F03CF7" w:rsidRPr="009928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émissions de  gaz à effet de serre</w:t>
      </w:r>
      <w:r w:rsidR="00F03CF7"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(liées au gaspillage de ressources et à la gestion des déchets).</w:t>
      </w:r>
    </w:p>
    <w:p w:rsidR="00F03CF7" w:rsidRPr="009928C4" w:rsidRDefault="00F03CF7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03CF7" w:rsidRDefault="00F03CF7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F03CF7" w:rsidRDefault="00F03CF7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F03CF7" w:rsidRDefault="00121400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fr-FR"/>
        </w:rPr>
        <w:drawing>
          <wp:anchor distT="0" distB="0" distL="114300" distR="114300" simplePos="0" relativeHeight="251665408" behindDoc="0" locked="0" layoutInCell="1" allowOverlap="1" wp14:anchorId="493F2D78" wp14:editId="17C03734">
            <wp:simplePos x="0" y="0"/>
            <wp:positionH relativeFrom="column">
              <wp:posOffset>1829482</wp:posOffset>
            </wp:positionH>
            <wp:positionV relativeFrom="paragraph">
              <wp:posOffset>86995</wp:posOffset>
            </wp:positionV>
            <wp:extent cx="1760220" cy="1760220"/>
            <wp:effectExtent l="0" t="0" r="0" b="0"/>
            <wp:wrapNone/>
            <wp:docPr id="1" name="Image 1" descr="http://optigede.ademe.fr/sites/default/files/102x102_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tigede.ademe.fr/sites/default/files/102x102_st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8C4" w:rsidRDefault="009928C4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9928C4" w:rsidRDefault="009928C4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9928C4" w:rsidRDefault="009928C4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9928C4" w:rsidRDefault="009928C4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F03CF7" w:rsidRDefault="00F03CF7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F03CF7" w:rsidRPr="00FB3176" w:rsidRDefault="00F03CF7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bookmarkStart w:id="0" w:name="_GoBack"/>
      <w:bookmarkEnd w:id="0"/>
    </w:p>
    <w:p w:rsidR="00F03CF7" w:rsidRDefault="00F03CF7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F03CF7" w:rsidRDefault="00F03CF7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F03CF7" w:rsidRDefault="00F03CF7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F03CF7" w:rsidRDefault="00F03CF7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F03CF7" w:rsidRDefault="00F03CF7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FB3176" w:rsidRPr="00FB3176" w:rsidRDefault="00FB3176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FB317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p w:rsidR="00FB3176" w:rsidRPr="009928C4" w:rsidRDefault="0086508D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928C4">
        <w:rPr>
          <w:rFonts w:ascii="Arial" w:hAnsi="Arial" w:cs="Arial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A0CCA7F" wp14:editId="67C13F67">
                <wp:simplePos x="0" y="0"/>
                <wp:positionH relativeFrom="column">
                  <wp:posOffset>-121874</wp:posOffset>
                </wp:positionH>
                <wp:positionV relativeFrom="paragraph">
                  <wp:posOffset>-78645</wp:posOffset>
                </wp:positionV>
                <wp:extent cx="6045959" cy="8338782"/>
                <wp:effectExtent l="0" t="0" r="0" b="57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959" cy="83387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9.6pt;margin-top:-6.2pt;width:476.05pt;height:656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" fillcolor="#f2f2f2 [3052]" stroked="f" strokeweight="2pt"/>
            </w:pict>
          </mc:Fallback>
        </mc:AlternateContent>
      </w:r>
      <w:r w:rsidR="00F03CF7" w:rsidRPr="009928C4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A52D7" wp14:editId="50390F0C">
                <wp:simplePos x="0" y="0"/>
                <wp:positionH relativeFrom="column">
                  <wp:posOffset>-899795</wp:posOffset>
                </wp:positionH>
                <wp:positionV relativeFrom="paragraph">
                  <wp:posOffset>-742315</wp:posOffset>
                </wp:positionV>
                <wp:extent cx="7564120" cy="462915"/>
                <wp:effectExtent l="57150" t="19050" r="55880" b="895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120" cy="462915"/>
                        </a:xfrm>
                        <a:prstGeom prst="rect">
                          <a:avLst/>
                        </a:prstGeom>
                        <a:solidFill>
                          <a:srgbClr val="D20000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70.85pt;margin-top:-58.45pt;width:595.6pt;height:3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" fillcolor="#d20000" stroked="f" strokeweight="2pt">
                <v:shadow on="t" color="black" opacity="26214f" origin=",-.5" offset="0,3pt"/>
              </v:rect>
            </w:pict>
          </mc:Fallback>
        </mc:AlternateContent>
      </w:r>
      <w:r w:rsidR="00FB3176" w:rsidRPr="009928C4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Des enjeux « de poids » qui cependant peuvent être limités</w:t>
      </w:r>
      <w:r w:rsidR="00FB3176"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comme le montrent les exemples suivants :</w:t>
      </w:r>
    </w:p>
    <w:p w:rsidR="00FB3176" w:rsidRPr="009928C4" w:rsidRDefault="00FB3176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FB3176" w:rsidRPr="009928C4" w:rsidRDefault="00FB3176" w:rsidP="009928C4">
      <w:pPr>
        <w:numPr>
          <w:ilvl w:val="0"/>
          <w:numId w:val="3"/>
        </w:numPr>
        <w:spacing w:after="0" w:line="240" w:lineRule="auto"/>
        <w:ind w:left="705"/>
        <w:jc w:val="both"/>
        <w:rPr>
          <w:rFonts w:ascii="Arial" w:eastAsia="Times New Roman" w:hAnsi="Arial" w:cs="Arial"/>
          <w:color w:val="000000"/>
          <w:sz w:val="18"/>
          <w:szCs w:val="20"/>
          <w:lang w:eastAsia="fr-FR"/>
        </w:rPr>
      </w:pPr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La cuisine centrale du centre hospitalier d’Embrun a mis en place une politique visant à limiter le gaspillage alimentaire, lui permettant de </w:t>
      </w:r>
      <w:r w:rsidRPr="009928C4">
        <w:rPr>
          <w:rFonts w:ascii="Arial" w:eastAsia="Times New Roman" w:hAnsi="Arial" w:cs="Arial"/>
          <w:b/>
          <w:bCs/>
          <w:color w:val="000000"/>
          <w:sz w:val="18"/>
          <w:szCs w:val="20"/>
          <w:lang w:eastAsia="fr-FR"/>
        </w:rPr>
        <w:t>réduire par 4</w:t>
      </w:r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 la quantité de nourriture cuisinée non servie (et donc jetée).</w:t>
      </w:r>
    </w:p>
    <w:p w:rsidR="00FB3176" w:rsidRPr="009928C4" w:rsidRDefault="00FB3176" w:rsidP="009928C4">
      <w:pPr>
        <w:numPr>
          <w:ilvl w:val="0"/>
          <w:numId w:val="3"/>
        </w:numPr>
        <w:spacing w:after="0" w:line="240" w:lineRule="auto"/>
        <w:ind w:left="705"/>
        <w:jc w:val="both"/>
        <w:rPr>
          <w:rFonts w:ascii="Arial" w:eastAsia="Times New Roman" w:hAnsi="Arial" w:cs="Arial"/>
          <w:color w:val="000000"/>
          <w:sz w:val="18"/>
          <w:szCs w:val="20"/>
          <w:lang w:eastAsia="fr-FR"/>
        </w:rPr>
      </w:pPr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Les collèges des Bouches-du-Rhône qui ont menées une action de sensibilisation avec l’association « De mon assiette à notre planète » sont passés en moyenne de </w:t>
      </w:r>
      <w:r w:rsidRPr="009928C4">
        <w:rPr>
          <w:rFonts w:ascii="Arial" w:eastAsia="Times New Roman" w:hAnsi="Arial" w:cs="Arial"/>
          <w:b/>
          <w:bCs/>
          <w:color w:val="000000"/>
          <w:sz w:val="18"/>
          <w:szCs w:val="20"/>
          <w:lang w:eastAsia="fr-FR"/>
        </w:rPr>
        <w:t>230g à 160g</w:t>
      </w:r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 d’aliments non consommés par repas lors de la sensibilisation.</w:t>
      </w:r>
    </w:p>
    <w:p w:rsidR="00FB3176" w:rsidRPr="009928C4" w:rsidRDefault="00FB3176" w:rsidP="009928C4">
      <w:pPr>
        <w:numPr>
          <w:ilvl w:val="0"/>
          <w:numId w:val="3"/>
        </w:numPr>
        <w:spacing w:line="240" w:lineRule="auto"/>
        <w:ind w:left="705"/>
        <w:jc w:val="both"/>
        <w:rPr>
          <w:rFonts w:ascii="Arial" w:eastAsia="Times New Roman" w:hAnsi="Arial" w:cs="Arial"/>
          <w:color w:val="000000"/>
          <w:sz w:val="18"/>
          <w:szCs w:val="20"/>
          <w:lang w:eastAsia="fr-FR"/>
        </w:rPr>
      </w:pPr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Le restaurant administratif du CG 67 (</w:t>
      </w:r>
      <w:proofErr w:type="spellStart"/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Eurest</w:t>
      </w:r>
      <w:proofErr w:type="spellEnd"/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) a mis en place un programme ayant pour objectif de réduire la quantité de déchets alimentaires. Après 6 mois de campagne, l’ajustement des quantités à servir en fonction des besoins réels a permis</w:t>
      </w:r>
      <w:r w:rsidR="00CC3D4E"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 xml:space="preserve"> </w:t>
      </w:r>
      <w:r w:rsidRPr="009928C4">
        <w:rPr>
          <w:rFonts w:ascii="Arial" w:eastAsia="Times New Roman" w:hAnsi="Arial" w:cs="Arial"/>
          <w:b/>
          <w:bCs/>
          <w:color w:val="000000"/>
          <w:sz w:val="18"/>
          <w:szCs w:val="20"/>
          <w:lang w:eastAsia="fr-FR"/>
        </w:rPr>
        <w:t>d’économiser 6 cts d’€/repas</w:t>
      </w:r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.</w:t>
      </w:r>
    </w:p>
    <w:p w:rsidR="00FB3176" w:rsidRPr="009928C4" w:rsidRDefault="00FB3176" w:rsidP="009928C4">
      <w:pPr>
        <w:jc w:val="both"/>
        <w:rPr>
          <w:rStyle w:val="lev"/>
          <w:rFonts w:ascii="Arial" w:hAnsi="Arial" w:cs="Arial"/>
          <w:color w:val="000000"/>
          <w:sz w:val="20"/>
          <w:szCs w:val="20"/>
          <w:shd w:val="clear" w:color="auto" w:fill="ECECEC"/>
        </w:rPr>
      </w:pPr>
      <w:r w:rsidRPr="009928C4">
        <w:rPr>
          <w:rFonts w:ascii="Arial" w:hAnsi="Arial" w:cs="Arial"/>
          <w:color w:val="000000"/>
          <w:sz w:val="20"/>
          <w:szCs w:val="20"/>
          <w:shd w:val="clear" w:color="auto" w:fill="ECECEC"/>
        </w:rPr>
        <w:t>L’ADEME propose une boîte à outils qui a pour objectif d'aider des porteurs de projet</w:t>
      </w:r>
      <w:r w:rsidRPr="009928C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ECECEC"/>
        </w:rPr>
        <w:t> </w:t>
      </w:r>
      <w:r w:rsidRPr="009928C4">
        <w:rPr>
          <w:rStyle w:val="lev"/>
          <w:rFonts w:ascii="Arial" w:hAnsi="Arial" w:cs="Arial"/>
          <w:color w:val="000000"/>
          <w:sz w:val="20"/>
          <w:szCs w:val="20"/>
          <w:shd w:val="clear" w:color="auto" w:fill="ECECEC"/>
        </w:rPr>
        <w:t>(collectivités, associations, entreprises de restauration,…)</w:t>
      </w:r>
      <w:r w:rsidRPr="009928C4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ECECEC"/>
        </w:rPr>
        <w:t> </w:t>
      </w:r>
      <w:r w:rsidRPr="009928C4">
        <w:rPr>
          <w:rFonts w:ascii="Arial" w:hAnsi="Arial" w:cs="Arial"/>
          <w:color w:val="000000"/>
          <w:sz w:val="20"/>
          <w:szCs w:val="20"/>
          <w:shd w:val="clear" w:color="auto" w:fill="ECECEC"/>
        </w:rPr>
        <w:t>à organiser des actions visant à</w:t>
      </w:r>
      <w:r w:rsidRPr="009928C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ECECEC"/>
        </w:rPr>
        <w:t> </w:t>
      </w:r>
      <w:r w:rsidRPr="009928C4">
        <w:rPr>
          <w:rStyle w:val="lev"/>
          <w:rFonts w:ascii="Arial" w:hAnsi="Arial" w:cs="Arial"/>
          <w:color w:val="000000"/>
          <w:sz w:val="20"/>
          <w:szCs w:val="20"/>
          <w:shd w:val="clear" w:color="auto" w:fill="ECECEC"/>
        </w:rPr>
        <w:t>limiter le gaspillage alimentaire au niveau de la consommation finale des ménages, dans et hors foyers.</w:t>
      </w:r>
    </w:p>
    <w:p w:rsidR="00FB3176" w:rsidRPr="009928C4" w:rsidRDefault="00FB3176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928C4">
        <w:rPr>
          <w:rFonts w:ascii="Arial" w:eastAsia="Times New Roman" w:hAnsi="Arial" w:cs="Arial"/>
          <w:b/>
          <w:bCs/>
          <w:color w:val="003399"/>
          <w:sz w:val="20"/>
          <w:szCs w:val="20"/>
          <w:lang w:eastAsia="fr-FR"/>
        </w:rPr>
        <w:t>Que contient cette boîte à outils ?</w:t>
      </w:r>
    </w:p>
    <w:p w:rsidR="00FB3176" w:rsidRPr="009928C4" w:rsidRDefault="00FB3176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FB3176" w:rsidRPr="009928C4" w:rsidRDefault="00FB3176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 boîte à outils est organisée en quatre onglets qui comportent : </w:t>
      </w:r>
    </w:p>
    <w:p w:rsidR="00FB3176" w:rsidRPr="009928C4" w:rsidRDefault="00FB3176" w:rsidP="009928C4">
      <w:pPr>
        <w:numPr>
          <w:ilvl w:val="0"/>
          <w:numId w:val="4"/>
        </w:numPr>
        <w:spacing w:after="0" w:line="240" w:lineRule="auto"/>
        <w:ind w:left="705"/>
        <w:jc w:val="both"/>
        <w:rPr>
          <w:rFonts w:ascii="Arial" w:eastAsia="Times New Roman" w:hAnsi="Arial" w:cs="Arial"/>
          <w:color w:val="000000"/>
          <w:sz w:val="18"/>
          <w:szCs w:val="20"/>
          <w:lang w:eastAsia="fr-FR"/>
        </w:rPr>
      </w:pPr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un mode d'emploi,</w:t>
      </w:r>
    </w:p>
    <w:p w:rsidR="00FB3176" w:rsidRPr="009928C4" w:rsidRDefault="00FB3176" w:rsidP="009928C4">
      <w:pPr>
        <w:numPr>
          <w:ilvl w:val="0"/>
          <w:numId w:val="4"/>
        </w:numPr>
        <w:spacing w:after="0" w:line="240" w:lineRule="auto"/>
        <w:ind w:left="705"/>
        <w:jc w:val="both"/>
        <w:rPr>
          <w:rFonts w:ascii="Arial" w:eastAsia="Times New Roman" w:hAnsi="Arial" w:cs="Arial"/>
          <w:color w:val="000000"/>
          <w:sz w:val="18"/>
          <w:szCs w:val="20"/>
          <w:lang w:eastAsia="fr-FR"/>
        </w:rPr>
      </w:pPr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des </w:t>
      </w:r>
      <w:r w:rsidRPr="009928C4">
        <w:rPr>
          <w:rFonts w:ascii="Arial" w:eastAsia="Times New Roman" w:hAnsi="Arial" w:cs="Arial"/>
          <w:b/>
          <w:bCs/>
          <w:color w:val="000000"/>
          <w:sz w:val="18"/>
          <w:szCs w:val="20"/>
          <w:lang w:eastAsia="fr-FR"/>
        </w:rPr>
        <w:t>fiches actions : repères méthodologiques basés sur le retour d’expériences,</w:t>
      </w:r>
    </w:p>
    <w:p w:rsidR="00FB3176" w:rsidRPr="009928C4" w:rsidRDefault="00FB3176" w:rsidP="009928C4">
      <w:pPr>
        <w:numPr>
          <w:ilvl w:val="0"/>
          <w:numId w:val="5"/>
        </w:numPr>
        <w:spacing w:after="0" w:line="240" w:lineRule="auto"/>
        <w:ind w:left="705"/>
        <w:jc w:val="both"/>
        <w:rPr>
          <w:rFonts w:ascii="Arial" w:eastAsia="Times New Roman" w:hAnsi="Arial" w:cs="Arial"/>
          <w:color w:val="000000"/>
          <w:sz w:val="18"/>
          <w:szCs w:val="20"/>
          <w:lang w:eastAsia="fr-FR"/>
        </w:rPr>
      </w:pPr>
      <w:r w:rsidRPr="009928C4">
        <w:rPr>
          <w:rFonts w:ascii="Arial" w:eastAsia="Times New Roman" w:hAnsi="Arial" w:cs="Arial"/>
          <w:b/>
          <w:bCs/>
          <w:color w:val="000000"/>
          <w:sz w:val="18"/>
          <w:szCs w:val="20"/>
          <w:lang w:eastAsia="fr-FR"/>
        </w:rPr>
        <w:t>des outils : </w:t>
      </w:r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documents réalisés par des acteurs ayant déjà réalisé des actions ou par l’ADEME</w:t>
      </w:r>
      <w:r w:rsidRPr="009928C4">
        <w:rPr>
          <w:rFonts w:ascii="Arial" w:eastAsia="Times New Roman" w:hAnsi="Arial" w:cs="Arial"/>
          <w:b/>
          <w:bCs/>
          <w:color w:val="000000"/>
          <w:sz w:val="18"/>
          <w:szCs w:val="20"/>
          <w:lang w:eastAsia="fr-FR"/>
        </w:rPr>
        <w:t>,</w:t>
      </w:r>
    </w:p>
    <w:p w:rsidR="00FB3176" w:rsidRPr="009928C4" w:rsidRDefault="00FB3176" w:rsidP="009928C4">
      <w:pPr>
        <w:numPr>
          <w:ilvl w:val="0"/>
          <w:numId w:val="5"/>
        </w:numPr>
        <w:spacing w:line="240" w:lineRule="auto"/>
        <w:ind w:left="705"/>
        <w:jc w:val="both"/>
        <w:rPr>
          <w:rFonts w:ascii="Arial" w:eastAsia="Times New Roman" w:hAnsi="Arial" w:cs="Arial"/>
          <w:color w:val="000000"/>
          <w:sz w:val="18"/>
          <w:szCs w:val="20"/>
          <w:lang w:eastAsia="fr-FR"/>
        </w:rPr>
      </w:pPr>
      <w:r w:rsidRPr="009928C4">
        <w:rPr>
          <w:rFonts w:ascii="Arial" w:eastAsia="Times New Roman" w:hAnsi="Arial" w:cs="Arial"/>
          <w:b/>
          <w:bCs/>
          <w:color w:val="000000"/>
          <w:sz w:val="18"/>
          <w:szCs w:val="20"/>
          <w:lang w:eastAsia="fr-FR"/>
        </w:rPr>
        <w:t>des exemples : </w:t>
      </w:r>
      <w:r w:rsidRPr="009928C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opérations menées en France et leurs résultats</w:t>
      </w:r>
      <w:r w:rsidRPr="009928C4">
        <w:rPr>
          <w:rFonts w:ascii="Arial" w:eastAsia="Times New Roman" w:hAnsi="Arial" w:cs="Arial"/>
          <w:b/>
          <w:bCs/>
          <w:color w:val="000000"/>
          <w:sz w:val="18"/>
          <w:szCs w:val="20"/>
          <w:lang w:eastAsia="fr-FR"/>
        </w:rPr>
        <w:t>.</w:t>
      </w:r>
    </w:p>
    <w:p w:rsidR="00FB3176" w:rsidRPr="009928C4" w:rsidRDefault="00FB3176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928C4">
        <w:rPr>
          <w:rFonts w:ascii="Arial" w:eastAsia="Times New Roman" w:hAnsi="Arial" w:cs="Arial"/>
          <w:b/>
          <w:bCs/>
          <w:color w:val="003399"/>
          <w:sz w:val="20"/>
          <w:szCs w:val="20"/>
          <w:lang w:eastAsia="fr-FR"/>
        </w:rPr>
        <w:t>Comment a été construite cette boîte à outils ?</w:t>
      </w:r>
    </w:p>
    <w:p w:rsidR="00FB3176" w:rsidRPr="009928C4" w:rsidRDefault="00FB3176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FB3176" w:rsidRPr="009928C4" w:rsidRDefault="00FB3176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Elle a été réalisée pour l'ADEME par le bureau d'études </w:t>
      </w:r>
      <w:proofErr w:type="spellStart"/>
      <w:r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Inddigo</w:t>
      </w:r>
      <w:proofErr w:type="spellEnd"/>
      <w:r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en concertation avec un comité de pilotage rassemblant des représentants des associations de protection de l'environnement et de collectivités, des Ministères du Développement durable et de l’Agriculture.</w:t>
      </w:r>
    </w:p>
    <w:p w:rsidR="00FB3176" w:rsidRPr="009928C4" w:rsidRDefault="00FB3176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Son contenu est principalement basé sur l’analyse du retour d’expériences.</w:t>
      </w:r>
    </w:p>
    <w:p w:rsidR="00FB3176" w:rsidRPr="009928C4" w:rsidRDefault="00FB3176" w:rsidP="009928C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Première mise en ligne : août 2011.</w:t>
      </w:r>
    </w:p>
    <w:p w:rsidR="0066260F" w:rsidRPr="009928C4" w:rsidRDefault="0066260F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928C4">
        <w:rPr>
          <w:rFonts w:ascii="Arial" w:eastAsia="Times New Roman" w:hAnsi="Arial" w:cs="Arial"/>
          <w:b/>
          <w:bCs/>
          <w:color w:val="003399"/>
          <w:sz w:val="20"/>
          <w:szCs w:val="20"/>
          <w:lang w:eastAsia="fr-FR"/>
        </w:rPr>
        <w:t>Où la trouver ?</w:t>
      </w:r>
    </w:p>
    <w:p w:rsidR="0066260F" w:rsidRPr="009928C4" w:rsidRDefault="0066260F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928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66260F" w:rsidRPr="009928C4" w:rsidRDefault="00121400" w:rsidP="009928C4">
      <w:pPr>
        <w:jc w:val="both"/>
        <w:rPr>
          <w:rFonts w:ascii="Arial" w:hAnsi="Arial" w:cs="Arial"/>
          <w:sz w:val="18"/>
          <w:szCs w:val="20"/>
        </w:rPr>
      </w:pPr>
      <w:hyperlink r:id="rId8" w:history="1">
        <w:r w:rsidR="0066260F" w:rsidRPr="009928C4">
          <w:rPr>
            <w:rStyle w:val="Lienhypertexte"/>
            <w:rFonts w:ascii="Arial" w:hAnsi="Arial" w:cs="Arial"/>
            <w:sz w:val="18"/>
            <w:szCs w:val="20"/>
          </w:rPr>
          <w:t>http://optigede.ademe.fr/gaspillage-alimentaire-0</w:t>
        </w:r>
      </w:hyperlink>
      <w:r w:rsidR="0066260F" w:rsidRPr="009928C4">
        <w:rPr>
          <w:rFonts w:ascii="Arial" w:hAnsi="Arial" w:cs="Arial"/>
          <w:sz w:val="18"/>
          <w:szCs w:val="20"/>
        </w:rPr>
        <w:t xml:space="preserve"> </w:t>
      </w:r>
    </w:p>
    <w:p w:rsidR="0066260F" w:rsidRPr="009928C4" w:rsidRDefault="0066260F" w:rsidP="009928C4">
      <w:pPr>
        <w:jc w:val="both"/>
        <w:rPr>
          <w:rFonts w:ascii="Arial" w:hAnsi="Arial" w:cs="Arial"/>
          <w:sz w:val="20"/>
          <w:szCs w:val="20"/>
        </w:rPr>
      </w:pPr>
      <w:r w:rsidRPr="009928C4">
        <w:rPr>
          <w:rFonts w:ascii="Arial" w:eastAsia="Times New Roman" w:hAnsi="Arial" w:cs="Arial"/>
          <w:b/>
          <w:bCs/>
          <w:color w:val="003399"/>
          <w:sz w:val="20"/>
          <w:szCs w:val="20"/>
          <w:lang w:eastAsia="fr-FR"/>
        </w:rPr>
        <w:t>Autres ressources</w:t>
      </w:r>
    </w:p>
    <w:p w:rsidR="0066260F" w:rsidRPr="009928C4" w:rsidRDefault="00CC3D4E" w:rsidP="009928C4">
      <w:pPr>
        <w:ind w:firstLine="3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9928C4">
        <w:rPr>
          <w:rFonts w:ascii="Arial" w:hAnsi="Arial" w:cs="Arial"/>
          <w:b/>
          <w:bCs/>
          <w:iCs/>
          <w:sz w:val="20"/>
          <w:szCs w:val="20"/>
        </w:rPr>
        <w:t>Contenu web</w:t>
      </w:r>
      <w:r w:rsidR="0066260F" w:rsidRPr="009928C4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9928C4" w:rsidRPr="009928C4" w:rsidRDefault="0066260F" w:rsidP="009928C4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18"/>
          <w:szCs w:val="20"/>
        </w:rPr>
      </w:pPr>
      <w:r w:rsidRPr="009928C4">
        <w:rPr>
          <w:rFonts w:ascii="Arial" w:hAnsi="Arial" w:cs="Arial"/>
          <w:b/>
          <w:bCs/>
          <w:i/>
          <w:iCs/>
          <w:sz w:val="18"/>
          <w:szCs w:val="20"/>
        </w:rPr>
        <w:t>Site Réduisons nos déchets</w:t>
      </w:r>
      <w:r w:rsidRPr="009928C4">
        <w:rPr>
          <w:rFonts w:ascii="Arial" w:hAnsi="Arial" w:cs="Arial"/>
          <w:i/>
          <w:iCs/>
          <w:sz w:val="18"/>
          <w:szCs w:val="20"/>
        </w:rPr>
        <w:t xml:space="preserve"> : informations, conseils, outils. </w:t>
      </w:r>
    </w:p>
    <w:p w:rsidR="0066260F" w:rsidRPr="009928C4" w:rsidRDefault="00121400" w:rsidP="009928C4">
      <w:pPr>
        <w:pStyle w:val="Paragraphedeliste"/>
        <w:jc w:val="both"/>
        <w:rPr>
          <w:rFonts w:ascii="Arial" w:hAnsi="Arial" w:cs="Arial"/>
          <w:sz w:val="18"/>
          <w:szCs w:val="20"/>
        </w:rPr>
      </w:pPr>
      <w:hyperlink r:id="rId9" w:history="1">
        <w:r w:rsidR="0066260F" w:rsidRPr="009928C4">
          <w:rPr>
            <w:rStyle w:val="Lienhypertexte"/>
            <w:rFonts w:ascii="Arial" w:hAnsi="Arial" w:cs="Arial"/>
            <w:i/>
            <w:iCs/>
            <w:sz w:val="18"/>
            <w:szCs w:val="20"/>
          </w:rPr>
          <w:t>http://www.reduisonsnosdechets.fr/jagis/home-gaspillage.html</w:t>
        </w:r>
      </w:hyperlink>
    </w:p>
    <w:p w:rsidR="009928C4" w:rsidRPr="009928C4" w:rsidRDefault="0066260F" w:rsidP="009928C4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18"/>
          <w:szCs w:val="20"/>
          <w:lang w:val="en-US"/>
        </w:rPr>
      </w:pPr>
      <w:r w:rsidRPr="009928C4">
        <w:rPr>
          <w:rFonts w:ascii="Arial" w:hAnsi="Arial" w:cs="Arial"/>
          <w:b/>
          <w:bCs/>
          <w:i/>
          <w:iCs/>
          <w:sz w:val="18"/>
          <w:szCs w:val="20"/>
          <w:lang w:val="en-US"/>
        </w:rPr>
        <w:t xml:space="preserve">Spot TV : Stop au </w:t>
      </w:r>
      <w:proofErr w:type="spellStart"/>
      <w:r w:rsidRPr="009928C4">
        <w:rPr>
          <w:rFonts w:ascii="Arial" w:hAnsi="Arial" w:cs="Arial"/>
          <w:b/>
          <w:bCs/>
          <w:i/>
          <w:iCs/>
          <w:sz w:val="18"/>
          <w:szCs w:val="20"/>
          <w:lang w:val="en-US"/>
        </w:rPr>
        <w:t>gaspillage</w:t>
      </w:r>
      <w:proofErr w:type="spellEnd"/>
      <w:r w:rsidRPr="009928C4">
        <w:rPr>
          <w:rFonts w:ascii="Arial" w:hAnsi="Arial" w:cs="Arial"/>
          <w:b/>
          <w:bCs/>
          <w:i/>
          <w:iCs/>
          <w:sz w:val="18"/>
          <w:szCs w:val="20"/>
          <w:lang w:val="en-US"/>
        </w:rPr>
        <w:t xml:space="preserve">, 30’’ </w:t>
      </w:r>
    </w:p>
    <w:p w:rsidR="0066260F" w:rsidRPr="009928C4" w:rsidRDefault="00121400" w:rsidP="009928C4">
      <w:pPr>
        <w:pStyle w:val="Paragraphedeliste"/>
        <w:jc w:val="both"/>
        <w:rPr>
          <w:rFonts w:ascii="Arial" w:hAnsi="Arial" w:cs="Arial"/>
          <w:sz w:val="18"/>
          <w:szCs w:val="20"/>
          <w:lang w:val="en-US"/>
        </w:rPr>
      </w:pPr>
      <w:hyperlink r:id="rId10" w:history="1">
        <w:r w:rsidR="0066260F" w:rsidRPr="009928C4">
          <w:rPr>
            <w:rStyle w:val="Lienhypertexte"/>
            <w:rFonts w:ascii="Arial" w:hAnsi="Arial" w:cs="Arial"/>
            <w:i/>
            <w:iCs/>
            <w:sz w:val="18"/>
            <w:szCs w:val="20"/>
            <w:lang w:val="en-US"/>
          </w:rPr>
          <w:t>http://www.reduisonsnosdechets.fr/jenparle/campagne_1videos_5.html</w:t>
        </w:r>
      </w:hyperlink>
    </w:p>
    <w:p w:rsidR="0066260F" w:rsidRPr="009928C4" w:rsidRDefault="0066260F" w:rsidP="009928C4">
      <w:pPr>
        <w:ind w:firstLine="3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9928C4">
        <w:rPr>
          <w:rFonts w:ascii="Arial" w:hAnsi="Arial" w:cs="Arial"/>
          <w:b/>
          <w:bCs/>
          <w:iCs/>
          <w:sz w:val="20"/>
          <w:szCs w:val="20"/>
        </w:rPr>
        <w:t xml:space="preserve">Boîte à outils </w:t>
      </w:r>
    </w:p>
    <w:p w:rsidR="0066260F" w:rsidRPr="009928C4" w:rsidRDefault="0066260F" w:rsidP="009928C4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18"/>
          <w:szCs w:val="20"/>
        </w:rPr>
      </w:pPr>
      <w:r w:rsidRPr="009928C4">
        <w:rPr>
          <w:rFonts w:ascii="Arial" w:hAnsi="Arial" w:cs="Arial"/>
          <w:b/>
          <w:bCs/>
          <w:i/>
          <w:iCs/>
          <w:sz w:val="18"/>
          <w:szCs w:val="20"/>
        </w:rPr>
        <w:t>Opérations témoins</w:t>
      </w:r>
      <w:r w:rsidRPr="009928C4">
        <w:rPr>
          <w:rFonts w:ascii="Arial" w:hAnsi="Arial" w:cs="Arial"/>
          <w:i/>
          <w:iCs/>
          <w:sz w:val="18"/>
          <w:szCs w:val="20"/>
        </w:rPr>
        <w:t xml:space="preserve"> : Le geste « réduire le gaspillage alimentaire » peut concerner les différentes cibles (écoles, commerçants, foyers) </w:t>
      </w:r>
      <w:hyperlink r:id="rId11" w:history="1">
        <w:r w:rsidRPr="009928C4">
          <w:rPr>
            <w:rStyle w:val="Lienhypertexte"/>
            <w:rFonts w:ascii="Arial" w:hAnsi="Arial" w:cs="Arial"/>
            <w:i/>
            <w:iCs/>
            <w:sz w:val="18"/>
            <w:szCs w:val="20"/>
          </w:rPr>
          <w:t>http://optigede.ademe.fr/operations-temoins</w:t>
        </w:r>
      </w:hyperlink>
    </w:p>
    <w:p w:rsidR="0066260F" w:rsidRPr="009928C4" w:rsidRDefault="0066260F" w:rsidP="009928C4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9928C4">
        <w:rPr>
          <w:rFonts w:ascii="Arial" w:hAnsi="Arial" w:cs="Arial"/>
          <w:b/>
          <w:sz w:val="20"/>
          <w:szCs w:val="20"/>
        </w:rPr>
        <w:t>Guide</w:t>
      </w:r>
    </w:p>
    <w:p w:rsidR="009928C4" w:rsidRPr="009928C4" w:rsidRDefault="0066260F" w:rsidP="009928C4">
      <w:pPr>
        <w:pStyle w:val="Paragraphedeliste"/>
        <w:numPr>
          <w:ilvl w:val="0"/>
          <w:numId w:val="7"/>
        </w:numPr>
        <w:jc w:val="both"/>
        <w:rPr>
          <w:rStyle w:val="Lienhypertexte"/>
          <w:rFonts w:ascii="Arial" w:hAnsi="Arial" w:cs="Arial"/>
          <w:color w:val="auto"/>
          <w:sz w:val="18"/>
          <w:szCs w:val="20"/>
          <w:u w:val="none"/>
        </w:rPr>
      </w:pPr>
      <w:r w:rsidRPr="009928C4">
        <w:rPr>
          <w:rFonts w:ascii="Arial" w:hAnsi="Arial" w:cs="Arial"/>
          <w:i/>
          <w:iCs/>
          <w:sz w:val="18"/>
          <w:szCs w:val="20"/>
        </w:rPr>
        <w:t xml:space="preserve">guide "premier pas vers la réduction et la valorisation des déchets alimentaires" + la fiche "autodiagnostic" </w:t>
      </w:r>
      <w:r w:rsidRPr="009928C4">
        <w:rPr>
          <w:rFonts w:ascii="Arial" w:hAnsi="Arial" w:cs="Arial"/>
          <w:i/>
          <w:iCs/>
          <w:sz w:val="18"/>
          <w:szCs w:val="20"/>
        </w:rPr>
        <w:br/>
      </w:r>
      <w:hyperlink r:id="rId12" w:history="1">
        <w:r w:rsidRPr="009928C4">
          <w:rPr>
            <w:rStyle w:val="Lienhypertexte"/>
            <w:rFonts w:ascii="Arial" w:hAnsi="Arial" w:cs="Arial"/>
            <w:i/>
            <w:iCs/>
            <w:sz w:val="18"/>
            <w:szCs w:val="20"/>
          </w:rPr>
          <w:t>http://rhone-alpes.ademe.fr/</w:t>
        </w:r>
      </w:hyperlink>
    </w:p>
    <w:p w:rsidR="00FB3176" w:rsidRPr="009928C4" w:rsidRDefault="00FB3176" w:rsidP="009928C4">
      <w:pPr>
        <w:pStyle w:val="Sansinterligne"/>
        <w:rPr>
          <w:rFonts w:ascii="Arial" w:hAnsi="Arial" w:cs="Arial"/>
          <w:sz w:val="18"/>
          <w:szCs w:val="20"/>
        </w:rPr>
      </w:pPr>
      <w:r>
        <w:t>________________________________________</w:t>
      </w:r>
    </w:p>
    <w:p w:rsidR="00FB3176" w:rsidRPr="009928C4" w:rsidRDefault="00FB3176" w:rsidP="009928C4">
      <w:pPr>
        <w:pStyle w:val="Sansinterligne"/>
        <w:rPr>
          <w:sz w:val="18"/>
          <w:szCs w:val="18"/>
        </w:rPr>
      </w:pPr>
      <w:r w:rsidRPr="009928C4">
        <w:rPr>
          <w:sz w:val="18"/>
          <w:szCs w:val="18"/>
        </w:rPr>
        <w:t>Note de bas de page</w:t>
      </w:r>
    </w:p>
    <w:p w:rsidR="00FB3176" w:rsidRPr="009928C4" w:rsidRDefault="00FB3176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928C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1 - </w:t>
      </w:r>
      <w:hyperlink r:id="rId13" w:history="1">
        <w:r w:rsidRPr="009928C4">
          <w:rPr>
            <w:rFonts w:ascii="Arial" w:eastAsia="Times New Roman" w:hAnsi="Arial" w:cs="Arial"/>
            <w:color w:val="3A3A3A"/>
            <w:sz w:val="18"/>
            <w:szCs w:val="18"/>
            <w:lang w:eastAsia="fr-FR"/>
          </w:rPr>
          <w:t xml:space="preserve">Rapport de la FAO de mai 2011 « Global Food </w:t>
        </w:r>
        <w:proofErr w:type="spellStart"/>
        <w:r w:rsidRPr="009928C4">
          <w:rPr>
            <w:rFonts w:ascii="Arial" w:eastAsia="Times New Roman" w:hAnsi="Arial" w:cs="Arial"/>
            <w:color w:val="3A3A3A"/>
            <w:sz w:val="18"/>
            <w:szCs w:val="18"/>
            <w:lang w:eastAsia="fr-FR"/>
          </w:rPr>
          <w:t>Losses</w:t>
        </w:r>
        <w:proofErr w:type="spellEnd"/>
        <w:r w:rsidRPr="009928C4">
          <w:rPr>
            <w:rFonts w:ascii="Arial" w:eastAsia="Times New Roman" w:hAnsi="Arial" w:cs="Arial"/>
            <w:color w:val="3A3A3A"/>
            <w:sz w:val="18"/>
            <w:szCs w:val="18"/>
            <w:lang w:eastAsia="fr-FR"/>
          </w:rPr>
          <w:t xml:space="preserve"> and Food </w:t>
        </w:r>
        <w:proofErr w:type="spellStart"/>
        <w:r w:rsidRPr="009928C4">
          <w:rPr>
            <w:rFonts w:ascii="Arial" w:eastAsia="Times New Roman" w:hAnsi="Arial" w:cs="Arial"/>
            <w:color w:val="3A3A3A"/>
            <w:sz w:val="18"/>
            <w:szCs w:val="18"/>
            <w:lang w:eastAsia="fr-FR"/>
          </w:rPr>
          <w:t>Waste</w:t>
        </w:r>
        <w:proofErr w:type="spellEnd"/>
      </w:hyperlink>
    </w:p>
    <w:p w:rsidR="00FB3176" w:rsidRPr="009928C4" w:rsidRDefault="00FB3176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928C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2 - </w:t>
      </w:r>
      <w:hyperlink r:id="rId14" w:history="1">
        <w:r w:rsidRPr="009928C4">
          <w:rPr>
            <w:rFonts w:ascii="Arial" w:eastAsia="Times New Roman" w:hAnsi="Arial" w:cs="Arial"/>
            <w:color w:val="3A3A3A"/>
            <w:sz w:val="18"/>
            <w:szCs w:val="18"/>
            <w:lang w:eastAsia="fr-FR"/>
          </w:rPr>
          <w:t>Enquête sur les quantités de nourriture gaspillées dans l'Europe des 27</w:t>
        </w:r>
      </w:hyperlink>
    </w:p>
    <w:p w:rsidR="00FB3176" w:rsidRPr="009928C4" w:rsidRDefault="00FB3176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928C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3 - </w:t>
      </w:r>
      <w:hyperlink r:id="rId15" w:history="1">
        <w:r w:rsidRPr="009928C4">
          <w:rPr>
            <w:rFonts w:ascii="Arial" w:eastAsia="Times New Roman" w:hAnsi="Arial" w:cs="Arial"/>
            <w:color w:val="3A3A3A"/>
            <w:sz w:val="18"/>
            <w:szCs w:val="18"/>
            <w:lang w:eastAsia="fr-FR"/>
          </w:rPr>
          <w:t>ADEME MODECOM 2007</w:t>
        </w:r>
      </w:hyperlink>
    </w:p>
    <w:p w:rsidR="00FB3176" w:rsidRPr="009928C4" w:rsidRDefault="00FB3176" w:rsidP="009928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928C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4 - </w:t>
      </w:r>
      <w:hyperlink r:id="rId16" w:history="1">
        <w:r w:rsidRPr="009928C4">
          <w:rPr>
            <w:rFonts w:ascii="Arial" w:eastAsia="Times New Roman" w:hAnsi="Arial" w:cs="Arial"/>
            <w:color w:val="3A3A3A"/>
            <w:sz w:val="18"/>
            <w:szCs w:val="18"/>
            <w:lang w:eastAsia="fr-FR"/>
          </w:rPr>
          <w:t xml:space="preserve">Etude de préfiguration de l'obligation de tri à la source pour les producteurs de </w:t>
        </w:r>
        <w:proofErr w:type="spellStart"/>
        <w:r w:rsidRPr="009928C4">
          <w:rPr>
            <w:rFonts w:ascii="Arial" w:eastAsia="Times New Roman" w:hAnsi="Arial" w:cs="Arial"/>
            <w:color w:val="3A3A3A"/>
            <w:sz w:val="18"/>
            <w:szCs w:val="18"/>
            <w:lang w:eastAsia="fr-FR"/>
          </w:rPr>
          <w:t>biodéchets</w:t>
        </w:r>
        <w:proofErr w:type="spellEnd"/>
      </w:hyperlink>
    </w:p>
    <w:sectPr w:rsidR="00FB3176" w:rsidRPr="009928C4" w:rsidSect="00F03CF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pressway Rg">
    <w:panose1 w:val="00000000000000000000"/>
    <w:charset w:val="00"/>
    <w:family w:val="modern"/>
    <w:notTrueType/>
    <w:pitch w:val="variable"/>
    <w:sig w:usb0="A000002F" w:usb1="5000000A" w:usb2="00000000" w:usb3="00000000" w:csb0="000000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29C"/>
    <w:multiLevelType w:val="multilevel"/>
    <w:tmpl w:val="7126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830F2"/>
    <w:multiLevelType w:val="multilevel"/>
    <w:tmpl w:val="004C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90E4B"/>
    <w:multiLevelType w:val="hybridMultilevel"/>
    <w:tmpl w:val="F0DAA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24236"/>
    <w:multiLevelType w:val="multilevel"/>
    <w:tmpl w:val="9A58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03036"/>
    <w:multiLevelType w:val="multilevel"/>
    <w:tmpl w:val="81C6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02E3E"/>
    <w:multiLevelType w:val="hybridMultilevel"/>
    <w:tmpl w:val="64825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402D5"/>
    <w:multiLevelType w:val="multilevel"/>
    <w:tmpl w:val="9020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56"/>
    <w:rsid w:val="00046B8F"/>
    <w:rsid w:val="00121400"/>
    <w:rsid w:val="0014037E"/>
    <w:rsid w:val="00182844"/>
    <w:rsid w:val="002021D0"/>
    <w:rsid w:val="0026520E"/>
    <w:rsid w:val="003F0AB5"/>
    <w:rsid w:val="0066260F"/>
    <w:rsid w:val="007E4B32"/>
    <w:rsid w:val="0086508D"/>
    <w:rsid w:val="008C1592"/>
    <w:rsid w:val="009928C4"/>
    <w:rsid w:val="009E0C37"/>
    <w:rsid w:val="00BA7F56"/>
    <w:rsid w:val="00BC1D99"/>
    <w:rsid w:val="00BC27A5"/>
    <w:rsid w:val="00CC3D4E"/>
    <w:rsid w:val="00D84DA7"/>
    <w:rsid w:val="00F03CF7"/>
    <w:rsid w:val="00FB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B3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3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B31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B31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FB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B3176"/>
    <w:rPr>
      <w:b/>
      <w:bCs/>
    </w:rPr>
  </w:style>
  <w:style w:type="character" w:customStyle="1" w:styleId="apple-converted-space">
    <w:name w:val="apple-converted-space"/>
    <w:basedOn w:val="Policepardfaut"/>
    <w:rsid w:val="00FB3176"/>
  </w:style>
  <w:style w:type="paragraph" w:customStyle="1" w:styleId="rtecenter">
    <w:name w:val="rtecenter"/>
    <w:basedOn w:val="Normal"/>
    <w:rsid w:val="00FB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17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B317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6260F"/>
    <w:pPr>
      <w:ind w:left="720"/>
      <w:contextualSpacing/>
    </w:pPr>
  </w:style>
  <w:style w:type="paragraph" w:styleId="Sansinterligne">
    <w:name w:val="No Spacing"/>
    <w:uiPriority w:val="1"/>
    <w:qFormat/>
    <w:rsid w:val="009928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B3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3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B31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B31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FB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B3176"/>
    <w:rPr>
      <w:b/>
      <w:bCs/>
    </w:rPr>
  </w:style>
  <w:style w:type="character" w:customStyle="1" w:styleId="apple-converted-space">
    <w:name w:val="apple-converted-space"/>
    <w:basedOn w:val="Policepardfaut"/>
    <w:rsid w:val="00FB3176"/>
  </w:style>
  <w:style w:type="paragraph" w:customStyle="1" w:styleId="rtecenter">
    <w:name w:val="rtecenter"/>
    <w:basedOn w:val="Normal"/>
    <w:rsid w:val="00FB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17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B317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6260F"/>
    <w:pPr>
      <w:ind w:left="720"/>
      <w:contextualSpacing/>
    </w:pPr>
  </w:style>
  <w:style w:type="paragraph" w:styleId="Sansinterligne">
    <w:name w:val="No Spacing"/>
    <w:uiPriority w:val="1"/>
    <w:qFormat/>
    <w:rsid w:val="00992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2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72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910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28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71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71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80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79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tigede.ademe.fr/gaspillage-alimentaire-0" TargetMode="External"/><Relationship Id="rId13" Type="http://schemas.openxmlformats.org/officeDocument/2006/relationships/hyperlink" Target="http://www.fao.org/fileadmin/user_upload/ags/publications/GFL_web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rhone-alpes.ademe.f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2.ademe.fr/servlet/getBin?name=6B3DD6ABCABB1E632697D7D48F95511D_tomcatlocal1308053617569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ptigede.ademe.fr/operations-temoi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2.ademe.fr/servlet/KBaseShow?sort=-1&amp;cid=96&amp;m=3&amp;catid=15163" TargetMode="External"/><Relationship Id="rId10" Type="http://schemas.openxmlformats.org/officeDocument/2006/relationships/hyperlink" Target="http://www.reduisonsnosdechets.fr/jenparle/campagne_1videos_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duisonsnosdechets.fr/jagis/home-gaspillage.html" TargetMode="External"/><Relationship Id="rId14" Type="http://schemas.openxmlformats.org/officeDocument/2006/relationships/hyperlink" Target="http://ec.europa.eu/environment/eussd/reports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VERNIER Antoine</dc:creator>
  <cp:lastModifiedBy>GRIMAUD Bruno</cp:lastModifiedBy>
  <cp:revision>3</cp:revision>
  <cp:lastPrinted>2012-11-15T15:07:00Z</cp:lastPrinted>
  <dcterms:created xsi:type="dcterms:W3CDTF">2012-11-15T15:12:00Z</dcterms:created>
  <dcterms:modified xsi:type="dcterms:W3CDTF">2012-11-15T15:15:00Z</dcterms:modified>
</cp:coreProperties>
</file>